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B59" w:rsidRPr="00AC7B59" w:rsidRDefault="00AC7B59" w:rsidP="00BA05A5">
      <w:pPr>
        <w:spacing w:before="100" w:beforeAutospacing="1" w:after="100" w:afterAutospacing="1" w:line="400" w:lineRule="atLeast"/>
        <w:outlineLvl w:val="1"/>
        <w:rPr>
          <w:rFonts w:ascii="Arial" w:eastAsia="Times New Roman" w:hAnsi="Arial" w:cs="Arial"/>
          <w:b/>
          <w:bCs/>
          <w:sz w:val="40"/>
          <w:szCs w:val="40"/>
          <w:lang w:eastAsia="en-GB"/>
        </w:rPr>
      </w:pPr>
      <w:r w:rsidRPr="00AC7B59">
        <w:rPr>
          <w:rFonts w:ascii="Arial" w:eastAsia="Times New Roman" w:hAnsi="Arial" w:cs="Arial"/>
          <w:b/>
          <w:bCs/>
          <w:sz w:val="40"/>
          <w:szCs w:val="40"/>
          <w:lang w:eastAsia="en-GB"/>
        </w:rPr>
        <w:t>Abstract Examples</w:t>
      </w:r>
      <w:r>
        <w:rPr>
          <w:rFonts w:ascii="Arial" w:eastAsia="Times New Roman" w:hAnsi="Arial" w:cs="Arial"/>
          <w:b/>
          <w:bCs/>
          <w:sz w:val="40"/>
          <w:szCs w:val="40"/>
          <w:lang w:eastAsia="en-GB"/>
        </w:rPr>
        <w:t>:</w:t>
      </w:r>
    </w:p>
    <w:p w:rsidR="00BA05A5" w:rsidRPr="00BA05A5" w:rsidRDefault="00BA05A5" w:rsidP="00BA05A5">
      <w:pPr>
        <w:spacing w:before="100" w:beforeAutospacing="1" w:after="100" w:afterAutospacing="1" w:line="400" w:lineRule="atLeast"/>
        <w:outlineLvl w:val="1"/>
        <w:rPr>
          <w:rFonts w:ascii="Arial" w:eastAsia="Times New Roman" w:hAnsi="Arial" w:cs="Arial"/>
          <w:b/>
          <w:bCs/>
          <w:color w:val="990000"/>
          <w:sz w:val="32"/>
          <w:szCs w:val="32"/>
          <w:lang w:eastAsia="en-GB"/>
        </w:rPr>
      </w:pPr>
      <w:r w:rsidRPr="00BA05A5">
        <w:rPr>
          <w:rFonts w:ascii="Arial" w:eastAsia="Times New Roman" w:hAnsi="Arial" w:cs="Arial"/>
          <w:b/>
          <w:bCs/>
          <w:color w:val="990000"/>
          <w:sz w:val="32"/>
          <w:szCs w:val="32"/>
          <w:lang w:eastAsia="en-GB"/>
        </w:rPr>
        <w:t>“Margaret C. Anderson’s Little Review”</w:t>
      </w:r>
    </w:p>
    <w:p w:rsidR="00BA05A5" w:rsidRPr="00BA05A5" w:rsidRDefault="00BA05A5" w:rsidP="00BA05A5">
      <w:pPr>
        <w:spacing w:before="100" w:beforeAutospacing="1" w:after="100" w:afterAutospacing="1" w:line="280" w:lineRule="atLeast"/>
        <w:outlineLvl w:val="2"/>
        <w:rPr>
          <w:rFonts w:ascii="Arial" w:eastAsia="Times New Roman" w:hAnsi="Arial" w:cs="Arial"/>
          <w:b/>
          <w:bCs/>
          <w:color w:val="003366"/>
          <w:sz w:val="28"/>
          <w:szCs w:val="28"/>
          <w:lang w:eastAsia="en-GB"/>
        </w:rPr>
      </w:pPr>
      <w:r w:rsidRPr="00BA05A5">
        <w:rPr>
          <w:rFonts w:ascii="Arial" w:eastAsia="Times New Roman" w:hAnsi="Arial" w:cs="Arial"/>
          <w:b/>
          <w:bCs/>
          <w:color w:val="003366"/>
          <w:sz w:val="28"/>
          <w:szCs w:val="28"/>
          <w:lang w:eastAsia="en-GB"/>
        </w:rPr>
        <w:t xml:space="preserve">Sophia </w:t>
      </w:r>
      <w:proofErr w:type="spellStart"/>
      <w:r w:rsidRPr="00BA05A5">
        <w:rPr>
          <w:rFonts w:ascii="Arial" w:eastAsia="Times New Roman" w:hAnsi="Arial" w:cs="Arial"/>
          <w:b/>
          <w:bCs/>
          <w:color w:val="003366"/>
          <w:sz w:val="28"/>
          <w:szCs w:val="28"/>
          <w:lang w:eastAsia="en-GB"/>
        </w:rPr>
        <w:t>Estante</w:t>
      </w:r>
      <w:proofErr w:type="spellEnd"/>
      <w:r w:rsidRPr="00BA05A5">
        <w:rPr>
          <w:rFonts w:ascii="Arial" w:eastAsia="Times New Roman" w:hAnsi="Arial" w:cs="Arial"/>
          <w:b/>
          <w:bCs/>
          <w:color w:val="003366"/>
          <w:sz w:val="28"/>
          <w:szCs w:val="28"/>
          <w:lang w:eastAsia="en-GB"/>
        </w:rPr>
        <w:t xml:space="preserve"> and Lorrie Moore (Mentor), English</w:t>
      </w:r>
    </w:p>
    <w:p w:rsidR="00BA05A5" w:rsidRPr="00BA05A5" w:rsidRDefault="00BA05A5" w:rsidP="00AC7B59">
      <w:pPr>
        <w:spacing w:before="100" w:beforeAutospacing="1" w:after="100" w:afterAutospacing="1" w:line="240" w:lineRule="auto"/>
        <w:ind w:left="-284" w:right="-613"/>
        <w:rPr>
          <w:rFonts w:ascii="Arial" w:eastAsia="Times New Roman" w:hAnsi="Arial" w:cs="Arial"/>
          <w:color w:val="000000"/>
          <w:sz w:val="32"/>
          <w:szCs w:val="32"/>
          <w:lang w:eastAsia="en-GB"/>
        </w:rPr>
      </w:pPr>
      <w:r w:rsidRPr="00BA05A5">
        <w:rPr>
          <w:rFonts w:ascii="Arial" w:eastAsia="Times New Roman" w:hAnsi="Arial" w:cs="Arial"/>
          <w:color w:val="000000"/>
          <w:sz w:val="32"/>
          <w:szCs w:val="32"/>
          <w:highlight w:val="yellow"/>
          <w:lang w:eastAsia="en-GB"/>
        </w:rPr>
        <w:t>This research looks at the work of Margaret C. Anderson, the editor of the Little Review. The review published first works by Sherwood Anderson, James Joyce, Wyndham Lewis, and Ezra Pound.</w:t>
      </w:r>
      <w:r w:rsidRPr="00BA05A5">
        <w:rPr>
          <w:rFonts w:ascii="Arial" w:eastAsia="Times New Roman" w:hAnsi="Arial" w:cs="Arial"/>
          <w:color w:val="000000"/>
          <w:sz w:val="32"/>
          <w:szCs w:val="32"/>
          <w:lang w:eastAsia="en-GB"/>
        </w:rPr>
        <w:t xml:space="preserve"> </w:t>
      </w:r>
      <w:r w:rsidRPr="00BA05A5">
        <w:rPr>
          <w:rFonts w:ascii="Arial" w:eastAsia="Times New Roman" w:hAnsi="Arial" w:cs="Arial"/>
          <w:color w:val="000000"/>
          <w:sz w:val="32"/>
          <w:szCs w:val="32"/>
          <w:highlight w:val="green"/>
          <w:lang w:eastAsia="en-GB"/>
        </w:rPr>
        <w:t xml:space="preserve">This research draws upon mostly primary sources including memoirs, published letters, and a complete collection of the Little Review. Most prior research on Anderson focuses on her connection to the famous writers and personalities that she published and associated with. </w:t>
      </w:r>
      <w:r w:rsidRPr="00BA05A5">
        <w:rPr>
          <w:rFonts w:ascii="Arial" w:eastAsia="Times New Roman" w:hAnsi="Arial" w:cs="Arial"/>
          <w:color w:val="000000"/>
          <w:sz w:val="32"/>
          <w:szCs w:val="32"/>
          <w:highlight w:val="cyan"/>
          <w:lang w:eastAsia="en-GB"/>
        </w:rPr>
        <w:t>This focus undermines her role as the dominant creative force behind one of the most influential little magazines published in the 20th Century. This case example shows how little magazine publishing is arguably a literary art.</w:t>
      </w:r>
    </w:p>
    <w:p w:rsidR="0026196D" w:rsidRPr="008141B6" w:rsidRDefault="008141B6">
      <w:pPr>
        <w:rPr>
          <w:b/>
          <w:sz w:val="32"/>
          <w:szCs w:val="32"/>
        </w:rPr>
      </w:pPr>
      <w:r w:rsidRPr="00AC7B59">
        <w:rPr>
          <w:b/>
          <w:sz w:val="32"/>
          <w:szCs w:val="32"/>
          <w:highlight w:val="yellow"/>
        </w:rPr>
        <w:t>Purpose</w:t>
      </w:r>
      <w:r w:rsidRPr="008141B6">
        <w:rPr>
          <w:b/>
          <w:sz w:val="32"/>
          <w:szCs w:val="32"/>
        </w:rPr>
        <w:t xml:space="preserve">, </w:t>
      </w:r>
      <w:r w:rsidRPr="00AC7B59">
        <w:rPr>
          <w:b/>
          <w:sz w:val="32"/>
          <w:szCs w:val="32"/>
          <w:highlight w:val="green"/>
        </w:rPr>
        <w:t>Method &amp; Scope</w:t>
      </w:r>
      <w:r w:rsidRPr="008141B6">
        <w:rPr>
          <w:b/>
          <w:sz w:val="32"/>
          <w:szCs w:val="32"/>
        </w:rPr>
        <w:t xml:space="preserve">, </w:t>
      </w:r>
      <w:r w:rsidRPr="00AC7B59">
        <w:rPr>
          <w:b/>
          <w:sz w:val="32"/>
          <w:szCs w:val="32"/>
          <w:highlight w:val="cyan"/>
        </w:rPr>
        <w:t>Conclusion</w:t>
      </w:r>
    </w:p>
    <w:p w:rsidR="00BA05A5" w:rsidRPr="00BA05A5" w:rsidRDefault="00BA05A5" w:rsidP="00BA05A5">
      <w:pPr>
        <w:spacing w:before="100" w:beforeAutospacing="1" w:after="100" w:afterAutospacing="1" w:line="400" w:lineRule="atLeast"/>
        <w:outlineLvl w:val="1"/>
        <w:rPr>
          <w:rFonts w:ascii="Arial" w:eastAsia="Times New Roman" w:hAnsi="Arial" w:cs="Arial"/>
          <w:b/>
          <w:bCs/>
          <w:color w:val="990000"/>
          <w:sz w:val="32"/>
          <w:szCs w:val="32"/>
          <w:lang w:eastAsia="en-GB"/>
        </w:rPr>
      </w:pPr>
      <w:bookmarkStart w:id="0" w:name="history"/>
      <w:bookmarkEnd w:id="0"/>
      <w:r w:rsidRPr="00AC7B59">
        <w:rPr>
          <w:rFonts w:ascii="Arial" w:eastAsia="Times New Roman" w:hAnsi="Arial" w:cs="Arial"/>
          <w:b/>
          <w:bCs/>
          <w:color w:val="990000"/>
          <w:sz w:val="32"/>
          <w:szCs w:val="32"/>
          <w:lang w:eastAsia="en-GB"/>
        </w:rPr>
        <w:t>"The Commemoration and Memorialization of the American Revolution”</w:t>
      </w:r>
    </w:p>
    <w:p w:rsidR="00BA05A5" w:rsidRPr="00BA05A5" w:rsidRDefault="00BA05A5" w:rsidP="00BA05A5">
      <w:pPr>
        <w:spacing w:before="100" w:beforeAutospacing="1" w:after="100" w:afterAutospacing="1" w:line="280" w:lineRule="atLeast"/>
        <w:outlineLvl w:val="2"/>
        <w:rPr>
          <w:rFonts w:ascii="Arial" w:eastAsia="Times New Roman" w:hAnsi="Arial" w:cs="Arial"/>
          <w:b/>
          <w:bCs/>
          <w:color w:val="003366"/>
          <w:sz w:val="28"/>
          <w:szCs w:val="28"/>
          <w:lang w:eastAsia="en-GB"/>
        </w:rPr>
      </w:pPr>
      <w:r w:rsidRPr="00BA05A5">
        <w:rPr>
          <w:rFonts w:ascii="Arial" w:eastAsia="Times New Roman" w:hAnsi="Arial" w:cs="Arial"/>
          <w:b/>
          <w:bCs/>
          <w:color w:val="003366"/>
          <w:sz w:val="28"/>
          <w:szCs w:val="28"/>
          <w:lang w:eastAsia="en-GB"/>
        </w:rPr>
        <w:t>Benjamin Herman and Jean Lee (Mentor), History</w:t>
      </w:r>
    </w:p>
    <w:p w:rsidR="00BA05A5" w:rsidRDefault="00BA05A5" w:rsidP="00AC7B59">
      <w:pPr>
        <w:spacing w:before="100" w:beforeAutospacing="1" w:after="100" w:afterAutospacing="1" w:line="240" w:lineRule="auto"/>
        <w:ind w:left="-284"/>
        <w:rPr>
          <w:rFonts w:ascii="Arial" w:eastAsia="Times New Roman" w:hAnsi="Arial" w:cs="Arial"/>
          <w:color w:val="000000"/>
          <w:sz w:val="32"/>
          <w:szCs w:val="32"/>
          <w:lang w:eastAsia="en-GB"/>
        </w:rPr>
      </w:pPr>
      <w:r w:rsidRPr="00BA05A5">
        <w:rPr>
          <w:rFonts w:ascii="Arial" w:eastAsia="Times New Roman" w:hAnsi="Arial" w:cs="Arial"/>
          <w:color w:val="000000"/>
          <w:sz w:val="32"/>
          <w:szCs w:val="32"/>
          <w:highlight w:val="yellow"/>
          <w:lang w:eastAsia="en-GB"/>
        </w:rPr>
        <w:t>This project involves discovering how the American Revolution was remembered</w:t>
      </w:r>
      <w:r w:rsidR="008141B6">
        <w:rPr>
          <w:rFonts w:ascii="Arial" w:eastAsia="Times New Roman" w:hAnsi="Arial" w:cs="Arial"/>
          <w:color w:val="000000"/>
          <w:sz w:val="32"/>
          <w:szCs w:val="32"/>
          <w:highlight w:val="yellow"/>
          <w:lang w:eastAsia="en-GB"/>
        </w:rPr>
        <w:t xml:space="preserve"> during the nineteenth</w:t>
      </w:r>
      <w:r w:rsidRPr="00BA05A5">
        <w:rPr>
          <w:rFonts w:ascii="Arial" w:eastAsia="Times New Roman" w:hAnsi="Arial" w:cs="Arial"/>
          <w:color w:val="000000"/>
          <w:sz w:val="32"/>
          <w:szCs w:val="32"/>
          <w:highlight w:val="yellow"/>
          <w:lang w:eastAsia="en-GB"/>
        </w:rPr>
        <w:t xml:space="preserve"> century. The goal is to show that the American Revolution was memorialized by the actions of the United States government during the 1800s.</w:t>
      </w:r>
      <w:r w:rsidRPr="00BA05A5">
        <w:rPr>
          <w:rFonts w:ascii="Arial" w:eastAsia="Times New Roman" w:hAnsi="Arial" w:cs="Arial"/>
          <w:color w:val="000000"/>
          <w:sz w:val="32"/>
          <w:szCs w:val="32"/>
          <w:lang w:eastAsia="en-GB"/>
        </w:rPr>
        <w:t xml:space="preserve"> </w:t>
      </w:r>
      <w:r w:rsidRPr="00BA05A5">
        <w:rPr>
          <w:rFonts w:ascii="Arial" w:eastAsia="Times New Roman" w:hAnsi="Arial" w:cs="Arial"/>
          <w:color w:val="000000"/>
          <w:sz w:val="32"/>
          <w:szCs w:val="32"/>
          <w:highlight w:val="green"/>
          <w:lang w:eastAsia="en-GB"/>
        </w:rPr>
        <w:t>This has been done by examining events such as the Supreme Court cases of John Marshall and the Nullification Crisis.</w:t>
      </w:r>
      <w:r w:rsidRPr="00BA05A5">
        <w:rPr>
          <w:rFonts w:ascii="Arial" w:eastAsia="Times New Roman" w:hAnsi="Arial" w:cs="Arial"/>
          <w:color w:val="000000"/>
          <w:sz w:val="32"/>
          <w:szCs w:val="32"/>
          <w:lang w:eastAsia="en-GB"/>
        </w:rPr>
        <w:t xml:space="preserve"> </w:t>
      </w:r>
      <w:r w:rsidRPr="00BA05A5">
        <w:rPr>
          <w:rFonts w:ascii="Arial" w:eastAsia="Times New Roman" w:hAnsi="Arial" w:cs="Arial"/>
          <w:color w:val="000000"/>
          <w:sz w:val="32"/>
          <w:szCs w:val="32"/>
          <w:highlight w:val="cyan"/>
          <w:lang w:eastAsia="en-GB"/>
        </w:rPr>
        <w:t xml:space="preserve">Upon examination of these events, it becomes clear that John Marshall and John Calhoun (creator of the Doctrine of Nullification) attempted to use the American Revolution to </w:t>
      </w:r>
      <w:bookmarkStart w:id="1" w:name="_GoBack"/>
      <w:bookmarkEnd w:id="1"/>
      <w:r w:rsidRPr="00BA05A5">
        <w:rPr>
          <w:rFonts w:ascii="Arial" w:eastAsia="Times New Roman" w:hAnsi="Arial" w:cs="Arial"/>
          <w:color w:val="000000"/>
          <w:sz w:val="32"/>
          <w:szCs w:val="32"/>
          <w:highlight w:val="cyan"/>
          <w:lang w:eastAsia="en-GB"/>
        </w:rPr>
        <w:t>bolster their claims by citing speeches from Founding Fathers. Through showing that the American Revolution lives on in memory, this research highlights the importance of the revolution in shaping the actions of the United States government.</w:t>
      </w:r>
    </w:p>
    <w:p w:rsidR="00AC7B59" w:rsidRPr="00AC7B59" w:rsidRDefault="00AC7B59" w:rsidP="00AC7B59">
      <w:pPr>
        <w:spacing w:before="100" w:beforeAutospacing="1" w:after="100" w:afterAutospacing="1" w:line="240" w:lineRule="auto"/>
        <w:ind w:left="-284"/>
        <w:rPr>
          <w:rFonts w:eastAsia="Times New Roman" w:cs="Arial"/>
          <w:b/>
          <w:color w:val="000000"/>
          <w:sz w:val="32"/>
          <w:szCs w:val="32"/>
          <w:lang w:eastAsia="en-GB"/>
        </w:rPr>
      </w:pPr>
      <w:r w:rsidRPr="00AC7B59">
        <w:rPr>
          <w:rFonts w:eastAsia="Times New Roman" w:cs="Arial"/>
          <w:b/>
          <w:color w:val="000000"/>
          <w:sz w:val="32"/>
          <w:szCs w:val="32"/>
          <w:highlight w:val="yellow"/>
          <w:lang w:eastAsia="en-GB"/>
        </w:rPr>
        <w:t>Purpose,</w:t>
      </w:r>
      <w:r w:rsidRPr="00AC7B59">
        <w:rPr>
          <w:rFonts w:eastAsia="Times New Roman" w:cs="Arial"/>
          <w:b/>
          <w:color w:val="000000"/>
          <w:sz w:val="32"/>
          <w:szCs w:val="32"/>
          <w:lang w:eastAsia="en-GB"/>
        </w:rPr>
        <w:t xml:space="preserve"> </w:t>
      </w:r>
      <w:r w:rsidRPr="00AC7B59">
        <w:rPr>
          <w:rFonts w:eastAsia="Times New Roman" w:cs="Arial"/>
          <w:b/>
          <w:color w:val="000000"/>
          <w:sz w:val="32"/>
          <w:szCs w:val="32"/>
          <w:highlight w:val="green"/>
          <w:lang w:eastAsia="en-GB"/>
        </w:rPr>
        <w:t>Method &amp; Scope,</w:t>
      </w:r>
      <w:r w:rsidRPr="00AC7B59">
        <w:rPr>
          <w:rFonts w:eastAsia="Times New Roman" w:cs="Arial"/>
          <w:b/>
          <w:color w:val="000000"/>
          <w:sz w:val="32"/>
          <w:szCs w:val="32"/>
          <w:lang w:eastAsia="en-GB"/>
        </w:rPr>
        <w:t xml:space="preserve"> </w:t>
      </w:r>
      <w:r w:rsidRPr="00AC7B59">
        <w:rPr>
          <w:rFonts w:eastAsia="Times New Roman" w:cs="Arial"/>
          <w:b/>
          <w:color w:val="000000"/>
          <w:sz w:val="32"/>
          <w:szCs w:val="32"/>
          <w:highlight w:val="cyan"/>
          <w:lang w:eastAsia="en-GB"/>
        </w:rPr>
        <w:t>Conclusion</w:t>
      </w:r>
    </w:p>
    <w:sectPr w:rsidR="00AC7B59" w:rsidRPr="00AC7B59" w:rsidSect="00AC7B59">
      <w:footerReference w:type="default" r:id="rId8"/>
      <w:pgSz w:w="11906" w:h="16838"/>
      <w:pgMar w:top="993" w:right="849"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399" w:rsidRDefault="001D0399" w:rsidP="00BA05A5">
      <w:pPr>
        <w:spacing w:after="0" w:line="240" w:lineRule="auto"/>
      </w:pPr>
      <w:r>
        <w:separator/>
      </w:r>
    </w:p>
  </w:endnote>
  <w:endnote w:type="continuationSeparator" w:id="0">
    <w:p w:rsidR="001D0399" w:rsidRDefault="001D0399" w:rsidP="00BA0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59" w:rsidRDefault="00AC7B59" w:rsidP="00AC7B59">
    <w:pPr>
      <w:spacing w:before="100" w:beforeAutospacing="1" w:after="100" w:afterAutospacing="1" w:line="240" w:lineRule="auto"/>
      <w:rPr>
        <w:rFonts w:ascii="Arial" w:eastAsia="Times New Roman" w:hAnsi="Arial" w:cs="Arial"/>
        <w:color w:val="000000"/>
        <w:sz w:val="24"/>
        <w:szCs w:val="24"/>
        <w:lang w:eastAsia="en-GB"/>
      </w:rPr>
    </w:pPr>
    <w:r>
      <w:rPr>
        <w:rStyle w:val="FootnoteReference"/>
      </w:rPr>
      <w:footnoteRef/>
    </w:r>
    <w:r>
      <w:t xml:space="preserve"> </w:t>
    </w:r>
    <w:r>
      <w:rPr>
        <w:rFonts w:ascii="Arial" w:eastAsia="Times New Roman" w:hAnsi="Arial" w:cs="Arial"/>
        <w:color w:val="000000"/>
        <w:sz w:val="24"/>
        <w:szCs w:val="24"/>
        <w:lang w:eastAsia="en-GB"/>
      </w:rPr>
      <w:t xml:space="preserve"> “Abstracts: Examples</w:t>
    </w:r>
    <w:r w:rsidRPr="00AC7B59">
      <w:rPr>
        <w:rFonts w:ascii="Arial" w:eastAsia="Times New Roman" w:hAnsi="Arial" w:cs="Arial"/>
        <w:i/>
        <w:color w:val="000000"/>
        <w:sz w:val="24"/>
        <w:szCs w:val="24"/>
        <w:lang w:eastAsia="en-GB"/>
      </w:rPr>
      <w:t xml:space="preserve">”. The Writing </w:t>
    </w:r>
    <w:proofErr w:type="spellStart"/>
    <w:r w:rsidRPr="00AC7B59">
      <w:rPr>
        <w:rFonts w:ascii="Arial" w:eastAsia="Times New Roman" w:hAnsi="Arial" w:cs="Arial"/>
        <w:i/>
        <w:color w:val="000000"/>
        <w:sz w:val="24"/>
        <w:szCs w:val="24"/>
        <w:lang w:eastAsia="en-GB"/>
      </w:rPr>
      <w:t>Center</w:t>
    </w:r>
    <w:proofErr w:type="spellEnd"/>
    <w:r>
      <w:rPr>
        <w:rFonts w:ascii="Arial" w:eastAsia="Times New Roman" w:hAnsi="Arial" w:cs="Arial"/>
        <w:color w:val="000000"/>
        <w:sz w:val="24"/>
        <w:szCs w:val="24"/>
        <w:lang w:eastAsia="en-GB"/>
      </w:rPr>
      <w:t xml:space="preserve">: </w:t>
    </w:r>
    <w:proofErr w:type="spellStart"/>
    <w:r>
      <w:rPr>
        <w:rFonts w:ascii="Arial" w:eastAsia="Times New Roman" w:hAnsi="Arial" w:cs="Arial"/>
        <w:color w:val="000000"/>
        <w:sz w:val="24"/>
        <w:szCs w:val="24"/>
        <w:lang w:eastAsia="en-GB"/>
      </w:rPr>
      <w:t>n.d.</w:t>
    </w:r>
    <w:proofErr w:type="spellEnd"/>
    <w:r>
      <w:rPr>
        <w:rFonts w:ascii="Arial" w:eastAsia="Times New Roman" w:hAnsi="Arial" w:cs="Arial"/>
        <w:color w:val="000000"/>
        <w:sz w:val="24"/>
        <w:szCs w:val="24"/>
        <w:lang w:eastAsia="en-GB"/>
      </w:rPr>
      <w:t xml:space="preserve"> The University of Wisconsin – Madison. Web. 19 Nov. 2012 </w:t>
    </w:r>
    <w:hyperlink r:id="rId1" w:history="1">
      <w:r w:rsidRPr="00E74CF8">
        <w:rPr>
          <w:rStyle w:val="Hyperlink"/>
          <w:rFonts w:ascii="Arial" w:eastAsia="Times New Roman" w:hAnsi="Arial" w:cs="Arial"/>
          <w:sz w:val="24"/>
          <w:szCs w:val="24"/>
          <w:lang w:eastAsia="en-GB"/>
        </w:rPr>
        <w:t>http://writing.wisc.edu/Handbook/presentations_abstracts_examples.html</w:t>
      </w:r>
    </w:hyperlink>
  </w:p>
  <w:p w:rsidR="00AC7B59" w:rsidRDefault="00AC7B59">
    <w:pPr>
      <w:pStyle w:val="Footer"/>
    </w:pPr>
  </w:p>
  <w:p w:rsidR="00AC7B59" w:rsidRDefault="00AC7B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399" w:rsidRDefault="001D0399" w:rsidP="00BA05A5">
      <w:pPr>
        <w:spacing w:after="0" w:line="240" w:lineRule="auto"/>
      </w:pPr>
      <w:r>
        <w:separator/>
      </w:r>
    </w:p>
  </w:footnote>
  <w:footnote w:type="continuationSeparator" w:id="0">
    <w:p w:rsidR="001D0399" w:rsidRDefault="001D0399" w:rsidP="00BA05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5A5"/>
    <w:rsid w:val="001D0399"/>
    <w:rsid w:val="0026196D"/>
    <w:rsid w:val="008141B6"/>
    <w:rsid w:val="00AC7B59"/>
    <w:rsid w:val="00BA05A5"/>
    <w:rsid w:val="00BE2B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5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05A5"/>
  </w:style>
  <w:style w:type="paragraph" w:styleId="Footer">
    <w:name w:val="footer"/>
    <w:basedOn w:val="Normal"/>
    <w:link w:val="FooterChar"/>
    <w:uiPriority w:val="99"/>
    <w:unhideWhenUsed/>
    <w:rsid w:val="00BA05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05A5"/>
  </w:style>
  <w:style w:type="character" w:styleId="Hyperlink">
    <w:name w:val="Hyperlink"/>
    <w:basedOn w:val="DefaultParagraphFont"/>
    <w:uiPriority w:val="99"/>
    <w:unhideWhenUsed/>
    <w:rsid w:val="00AC7B59"/>
    <w:rPr>
      <w:color w:val="0000FF" w:themeColor="hyperlink"/>
      <w:u w:val="single"/>
    </w:rPr>
  </w:style>
  <w:style w:type="paragraph" w:styleId="FootnoteText">
    <w:name w:val="footnote text"/>
    <w:basedOn w:val="Normal"/>
    <w:link w:val="FootnoteTextChar"/>
    <w:uiPriority w:val="99"/>
    <w:semiHidden/>
    <w:unhideWhenUsed/>
    <w:rsid w:val="00AC7B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7B59"/>
    <w:rPr>
      <w:sz w:val="20"/>
      <w:szCs w:val="20"/>
    </w:rPr>
  </w:style>
  <w:style w:type="character" w:styleId="FootnoteReference">
    <w:name w:val="footnote reference"/>
    <w:basedOn w:val="DefaultParagraphFont"/>
    <w:uiPriority w:val="99"/>
    <w:semiHidden/>
    <w:unhideWhenUsed/>
    <w:rsid w:val="00AC7B59"/>
    <w:rPr>
      <w:vertAlign w:val="superscript"/>
    </w:rPr>
  </w:style>
  <w:style w:type="paragraph" w:styleId="BalloonText">
    <w:name w:val="Balloon Text"/>
    <w:basedOn w:val="Normal"/>
    <w:link w:val="BalloonTextChar"/>
    <w:uiPriority w:val="99"/>
    <w:semiHidden/>
    <w:unhideWhenUsed/>
    <w:rsid w:val="00AC7B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B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5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05A5"/>
  </w:style>
  <w:style w:type="paragraph" w:styleId="Footer">
    <w:name w:val="footer"/>
    <w:basedOn w:val="Normal"/>
    <w:link w:val="FooterChar"/>
    <w:uiPriority w:val="99"/>
    <w:unhideWhenUsed/>
    <w:rsid w:val="00BA05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05A5"/>
  </w:style>
  <w:style w:type="character" w:styleId="Hyperlink">
    <w:name w:val="Hyperlink"/>
    <w:basedOn w:val="DefaultParagraphFont"/>
    <w:uiPriority w:val="99"/>
    <w:unhideWhenUsed/>
    <w:rsid w:val="00AC7B59"/>
    <w:rPr>
      <w:color w:val="0000FF" w:themeColor="hyperlink"/>
      <w:u w:val="single"/>
    </w:rPr>
  </w:style>
  <w:style w:type="paragraph" w:styleId="FootnoteText">
    <w:name w:val="footnote text"/>
    <w:basedOn w:val="Normal"/>
    <w:link w:val="FootnoteTextChar"/>
    <w:uiPriority w:val="99"/>
    <w:semiHidden/>
    <w:unhideWhenUsed/>
    <w:rsid w:val="00AC7B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7B59"/>
    <w:rPr>
      <w:sz w:val="20"/>
      <w:szCs w:val="20"/>
    </w:rPr>
  </w:style>
  <w:style w:type="character" w:styleId="FootnoteReference">
    <w:name w:val="footnote reference"/>
    <w:basedOn w:val="DefaultParagraphFont"/>
    <w:uiPriority w:val="99"/>
    <w:semiHidden/>
    <w:unhideWhenUsed/>
    <w:rsid w:val="00AC7B59"/>
    <w:rPr>
      <w:vertAlign w:val="superscript"/>
    </w:rPr>
  </w:style>
  <w:style w:type="paragraph" w:styleId="BalloonText">
    <w:name w:val="Balloon Text"/>
    <w:basedOn w:val="Normal"/>
    <w:link w:val="BalloonTextChar"/>
    <w:uiPriority w:val="99"/>
    <w:semiHidden/>
    <w:unhideWhenUsed/>
    <w:rsid w:val="00AC7B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B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75241">
      <w:bodyDiv w:val="1"/>
      <w:marLeft w:val="1500"/>
      <w:marRight w:val="3000"/>
      <w:marTop w:val="0"/>
      <w:marBottom w:val="0"/>
      <w:divBdr>
        <w:top w:val="none" w:sz="0" w:space="0" w:color="auto"/>
        <w:left w:val="none" w:sz="0" w:space="0" w:color="auto"/>
        <w:bottom w:val="none" w:sz="0" w:space="0" w:color="auto"/>
        <w:right w:val="none" w:sz="0" w:space="0" w:color="auto"/>
      </w:divBdr>
    </w:div>
    <w:div w:id="1240870225">
      <w:bodyDiv w:val="1"/>
      <w:marLeft w:val="1500"/>
      <w:marRight w:val="300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riting.wisc.edu/Handbook/presentations_abstracts_exampl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24811-E838-487E-BDF4-EBF0CA663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Hansen</dc:creator>
  <cp:lastModifiedBy>Sonia Hansen</cp:lastModifiedBy>
  <cp:revision>2</cp:revision>
  <dcterms:created xsi:type="dcterms:W3CDTF">2012-11-19T03:26:00Z</dcterms:created>
  <dcterms:modified xsi:type="dcterms:W3CDTF">2012-11-19T03:26:00Z</dcterms:modified>
</cp:coreProperties>
</file>